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B9" w:rsidRPr="006C2C5A" w:rsidRDefault="004A33B9" w:rsidP="006C2C5A">
      <w:pPr>
        <w:widowControl/>
        <w:spacing w:before="100" w:beforeAutospacing="1" w:after="100" w:afterAutospacing="1"/>
        <w:jc w:val="center"/>
        <w:outlineLvl w:val="0"/>
        <w:rPr>
          <w:rFonts w:ascii="宋体" w:eastAsia="宋体" w:hAnsi="宋体" w:cs="宋体"/>
          <w:b/>
          <w:bCs/>
          <w:kern w:val="36"/>
          <w:sz w:val="36"/>
          <w:szCs w:val="36"/>
        </w:rPr>
      </w:pPr>
      <w:r w:rsidRPr="006C2C5A">
        <w:rPr>
          <w:rFonts w:ascii="宋体" w:eastAsia="宋体" w:hAnsi="宋体" w:cs="宋体" w:hint="eastAsia"/>
          <w:b/>
          <w:bCs/>
          <w:kern w:val="36"/>
          <w:sz w:val="36"/>
          <w:szCs w:val="36"/>
        </w:rPr>
        <w:t>水性高分散纳米TiO2的制备及其在棉织物上的应用研究</w:t>
      </w:r>
    </w:p>
    <w:p w:rsidR="004A33B9" w:rsidRPr="004A33B9" w:rsidRDefault="004A33B9" w:rsidP="006C2C5A">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纳米TiO2具有表面效应、小尺寸效应、量子效应等，被广泛应用于太阳能电池、空气净化、污水处理等领域．【纳米TiO2应用于纺织品上具有抗紫外线、抗静电、抗菌等复合功能．随着人们对复合功能纺织品需求的不断提高，在纺织工业中具有广阔的应用前景．目前制备纳米TiO2多采用气相法、液相法和固相法，其中以液相法为主．【2】液相法具有设备简单，原料易得，产品纯度高、均匀性好等优点，是试验室和工业化广泛采用的制备超微粉的一种方法．但其制备过程中必须经过高温煅烧才能得到晶型好的纳米TiO2粉体．纳米TiO2粉体易团聚，不易在水相或其他介质中分散稳定，使其在功能纳米纤维和纺织品后整理中的应用受到限制．[3]目前，对纳米TiO2粉体在不同介质中的分散方法有很多报道．[4</w:t>
      </w:r>
      <w:r w:rsidR="006C2C5A">
        <w:rPr>
          <w:rFonts w:ascii="宋体" w:eastAsia="宋体" w:hAnsi="宋体" w:cs="宋体" w:hint="eastAsia"/>
          <w:kern w:val="0"/>
          <w:sz w:val="24"/>
          <w:szCs w:val="24"/>
        </w:rPr>
        <w:t>]</w:t>
      </w:r>
      <w:r w:rsidRPr="004A33B9">
        <w:rPr>
          <w:rFonts w:ascii="宋体" w:eastAsia="宋体" w:hAnsi="宋体" w:cs="宋体" w:hint="eastAsia"/>
          <w:kern w:val="0"/>
          <w:sz w:val="24"/>
          <w:szCs w:val="24"/>
        </w:rPr>
        <w:t>纳米TiO2颗粒在水相介质中的团聚和分散稳定性都没有得到很好改善．因而，如何使纳米粒子在介质中均匀分散，且在纺织品上实现纳米粒子与纤维的坚牢结合，是纳米功能纺织品开发和应用的关键技术．为简化纳米TiO2的制备工艺，节约能源、避免因高温煅烧引起纳米TiO2粒子团聚，解决纳米TiO2在水相中的分散问题，本文采用“一步法”合成了水性高分散纳米TiO2乳液，并就制备过程中分散剂的加入对纳米TiO2结构和性能的影响及纳米TiO2在纺织品上的应用进行了研究．</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1试验</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1．1材料</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织物：全棉半漂织物(32x32，68x68)．试剂：TIC1、聚乙二醇1000、六偏磷酸钠、聚乙烯吡咯烷酮、聚丙烯酰胺(均为分析纯，国药集团上海化学试剂公司)．</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1．2水性高分散纳米TiO2乳液的制备</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用去离子水配制分散剂溶液于三颈瓶中，在10℃水浴中将一定量TiC1逐滴加入烧瓶中，控温搅拌20min，再加入少许去离子水，以3~C／min升温至结晶温度(90℃)，结晶2h后冷却静置熟化12h，过滤，用去离子水洗6～8次，去除晶体表面的cl</w:t>
      </w:r>
      <w:r w:rsidR="006C2C5A" w:rsidRPr="006C2C5A">
        <w:rPr>
          <w:rFonts w:ascii="宋体" w:eastAsia="宋体" w:hAnsi="宋体" w:cs="宋体" w:hint="eastAsia"/>
          <w:kern w:val="0"/>
          <w:sz w:val="24"/>
          <w:szCs w:val="24"/>
          <w:vertAlign w:val="superscript"/>
        </w:rPr>
        <w:t>-</w:t>
      </w:r>
      <w:r w:rsidRPr="004A33B9">
        <w:rPr>
          <w:rFonts w:ascii="宋体" w:eastAsia="宋体" w:hAnsi="宋体" w:cs="宋体" w:hint="eastAsia"/>
          <w:kern w:val="0"/>
          <w:sz w:val="24"/>
          <w:szCs w:val="24"/>
        </w:rPr>
        <w:t>，然后配制成一定用量的纳米TiO2乳液．</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1．3 TiO2处理织物的工艺</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将30％的纳米TiO2乳液加去离子水稀释成1％的TiO2整理液．棉织物二浸二轧(轧液率为8o~o)，90℃预烘3min，120℃焙烘5min．</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1．4测试</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1．4．1纳米TiO2的XRD</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将纳米TiO2乳液在50℃真空烘箱内烘干，得到固体粉末．采用RIGAKU(日本理学株式会社)X射线衍射仪进行分析，测试条件为铜靶，镍片滤光，扫描范围为0~-90o．样品晶粒尺寸用Debye—Scherrer公式进行计算．1I采用定量分析公式对混晶中各组成含量进行计算．[61</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1．4．2纳米TiO2的性能</w:t>
      </w:r>
    </w:p>
    <w:p w:rsidR="004A33B9" w:rsidRPr="004A33B9" w:rsidRDefault="004A33B9" w:rsidP="006C2C5A">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光催化活l：可用甲基橙染料的降解率来表征．降解率= ．式中：A。为紫外灯照射前甲基橙的吸光度为紫外灯照射一段时间后甲基橙的吸光度．</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lastRenderedPageBreak/>
        <w:t>分散稳定t：通过沉降法}7I进行测试．</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1．4．3纳米TiO2处理织物的性能</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光催化降解甲醛：采用TVOC在线检测多功能测试舱，测试TiO处理织物对甲醛的降解性能．【1抗菌性能：按照FZ／T01021—1992进行测试，并以大肠杆菌和金黄色葡萄球菌的减少率来评定．</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抗紫外性能：用UV1000F紫外线透过分析仪进行测试，所采用标准为EN13758—1：2001，用棉织物的UPF值、UVA及UVB透过率等参数来表征．</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2结果与分析</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2．1分散剂对纳米TiO2性能的影响</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2．1．1结构</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从图1可以看出，未加分散剂制得的纳米TiO2在衍射角25．28。和48．05。处存在吸收峰，表明TiO2晶体中存在锐钛矿晶型；且在衍射角27．45。、36．09。和54．32。</w:t>
      </w:r>
    </w:p>
    <w:p w:rsidR="006C2C5A"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处有吸收峰，即在金红石型TiO2标准XRD图的3个最强峰位置有吸收峰，表明TiO2晶体中存在一定量金红石型晶体，因此未加分散剂制得的纳米TiO2是混合晶型．由表1可以看出，锐钛矿型和金红石型含量分别为43．4％和56．6％，平均晶粒尺寸为74nm．</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lastRenderedPageBreak/>
        <w:t>从图2和表1可以看出，不管聚乙二醇用量多少，得到的纳米TiO2晶体均为金红石型．只是随着聚乙二醇用量的增加，TiO2晶体的平均粒径由61nm增大到69nm．</w:t>
      </w:r>
      <w:r w:rsidRPr="004A33B9">
        <w:rPr>
          <w:rFonts w:ascii="宋体" w:eastAsia="宋体" w:hAnsi="宋体" w:cs="宋体" w:hint="eastAsia"/>
          <w:kern w:val="0"/>
          <w:sz w:val="24"/>
          <w:szCs w:val="24"/>
        </w:rPr>
        <w:br/>
      </w:r>
      <w:r>
        <w:rPr>
          <w:rFonts w:ascii="宋体" w:eastAsia="宋体" w:hAnsi="宋体" w:cs="宋体"/>
          <w:noProof/>
          <w:kern w:val="0"/>
          <w:sz w:val="24"/>
          <w:szCs w:val="24"/>
        </w:rPr>
        <w:drawing>
          <wp:inline distT="0" distB="0" distL="0" distR="0">
            <wp:extent cx="5448300" cy="4714875"/>
            <wp:effectExtent l="19050" t="0" r="0" b="0"/>
            <wp:docPr id="1" name="图片 1" descr="http://www.ctanet.cn/UploadFile/article/5/1205/20120523150026368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tanet.cn/UploadFile/article/5/1205/20120523150026368214.png"/>
                    <pic:cNvPicPr>
                      <a:picLocks noChangeAspect="1" noChangeArrowheads="1"/>
                    </pic:cNvPicPr>
                  </pic:nvPicPr>
                  <pic:blipFill>
                    <a:blip r:embed="rId6"/>
                    <a:srcRect/>
                    <a:stretch>
                      <a:fillRect/>
                    </a:stretch>
                  </pic:blipFill>
                  <pic:spPr bwMode="auto">
                    <a:xfrm>
                      <a:off x="0" y="0"/>
                      <a:ext cx="5448300" cy="4714875"/>
                    </a:xfrm>
                    <a:prstGeom prst="rect">
                      <a:avLst/>
                    </a:prstGeom>
                    <a:noFill/>
                    <a:ln w="9525">
                      <a:noFill/>
                      <a:miter lim="800000"/>
                      <a:headEnd/>
                      <a:tailEnd/>
                    </a:ln>
                  </pic:spPr>
                </pic:pic>
              </a:graphicData>
            </a:graphic>
          </wp:inline>
        </w:drawing>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2933700" cy="2257425"/>
            <wp:effectExtent l="19050" t="0" r="0" b="0"/>
            <wp:docPr id="2" name="图片 2" descr="http://www.ctanet.cn/UploadFile/article/5/1205/20120523150026285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tanet.cn/UploadFile/article/5/1205/20120523150026285730.png"/>
                    <pic:cNvPicPr>
                      <a:picLocks noChangeAspect="1" noChangeArrowheads="1"/>
                    </pic:cNvPicPr>
                  </pic:nvPicPr>
                  <pic:blipFill>
                    <a:blip r:embed="rId7"/>
                    <a:srcRect/>
                    <a:stretch>
                      <a:fillRect/>
                    </a:stretch>
                  </pic:blipFill>
                  <pic:spPr bwMode="auto">
                    <a:xfrm>
                      <a:off x="0" y="0"/>
                      <a:ext cx="2933700" cy="2257425"/>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从图3和表1可以看出，不同用量聚丙烯酰胺制得的TiO2在衍射角25．28</w:t>
      </w:r>
      <w:r w:rsidRPr="004A33B9">
        <w:rPr>
          <w:rFonts w:ascii="宋体" w:eastAsia="宋体" w:hAnsi="宋体" w:cs="宋体" w:hint="eastAsia"/>
          <w:kern w:val="0"/>
          <w:sz w:val="24"/>
          <w:szCs w:val="24"/>
          <w:vertAlign w:val="superscript"/>
        </w:rPr>
        <w:t>。</w:t>
      </w:r>
      <w:r w:rsidRPr="004A33B9">
        <w:rPr>
          <w:rFonts w:ascii="宋体" w:eastAsia="宋体" w:hAnsi="宋体" w:cs="宋体" w:hint="eastAsia"/>
          <w:kern w:val="0"/>
          <w:sz w:val="24"/>
          <w:szCs w:val="24"/>
        </w:rPr>
        <w:t>、48．O5</w:t>
      </w:r>
      <w:r w:rsidRPr="004A33B9">
        <w:rPr>
          <w:rFonts w:ascii="宋体" w:eastAsia="宋体" w:hAnsi="宋体" w:cs="宋体" w:hint="eastAsia"/>
          <w:kern w:val="0"/>
          <w:sz w:val="24"/>
          <w:szCs w:val="24"/>
          <w:vertAlign w:val="superscript"/>
        </w:rPr>
        <w:t>。</w:t>
      </w:r>
      <w:r w:rsidRPr="004A33B9">
        <w:rPr>
          <w:rFonts w:ascii="宋体" w:eastAsia="宋体" w:hAnsi="宋体" w:cs="宋体" w:hint="eastAsia"/>
          <w:kern w:val="0"/>
          <w:sz w:val="24"/>
          <w:szCs w:val="24"/>
        </w:rPr>
        <w:t>和27．45</w:t>
      </w:r>
      <w:r w:rsidRPr="004A33B9">
        <w:rPr>
          <w:rFonts w:ascii="宋体" w:eastAsia="宋体" w:hAnsi="宋体" w:cs="宋体" w:hint="eastAsia"/>
          <w:kern w:val="0"/>
          <w:sz w:val="24"/>
          <w:szCs w:val="24"/>
          <w:vertAlign w:val="superscript"/>
        </w:rPr>
        <w:t>。</w:t>
      </w:r>
      <w:r w:rsidRPr="004A33B9">
        <w:rPr>
          <w:rFonts w:ascii="宋体" w:eastAsia="宋体" w:hAnsi="宋体" w:cs="宋体" w:hint="eastAsia"/>
          <w:kern w:val="0"/>
          <w:sz w:val="24"/>
          <w:szCs w:val="24"/>
        </w:rPr>
        <w:t>、36．09</w:t>
      </w:r>
      <w:r w:rsidRPr="004A33B9">
        <w:rPr>
          <w:rFonts w:ascii="宋体" w:eastAsia="宋体" w:hAnsi="宋体" w:cs="宋体" w:hint="eastAsia"/>
          <w:kern w:val="0"/>
          <w:sz w:val="24"/>
          <w:szCs w:val="24"/>
          <w:vertAlign w:val="superscript"/>
        </w:rPr>
        <w:t>。</w:t>
      </w:r>
      <w:r w:rsidRPr="004A33B9">
        <w:rPr>
          <w:rFonts w:ascii="宋体" w:eastAsia="宋体" w:hAnsi="宋体" w:cs="宋体" w:hint="eastAsia"/>
          <w:kern w:val="0"/>
          <w:sz w:val="24"/>
          <w:szCs w:val="24"/>
        </w:rPr>
        <w:t>附近都有吸收峰，表明TiO2都以锐钛矿型和金红石型混合晶体存在．聚丙烯酰胺用量越大，锐钛矿型TiO2含量越高，平均晶粒尺寸也越大．说明在制备过程中加入聚丙烯酰胺，有利于</w:t>
      </w:r>
      <w:r w:rsidRPr="004A33B9">
        <w:rPr>
          <w:rFonts w:ascii="宋体" w:eastAsia="宋体" w:hAnsi="宋体" w:cs="宋体" w:hint="eastAsia"/>
          <w:kern w:val="0"/>
          <w:sz w:val="24"/>
          <w:szCs w:val="24"/>
        </w:rPr>
        <w:lastRenderedPageBreak/>
        <w:t>锐钛矿型TiO2的生成．</w:t>
      </w:r>
      <w:r w:rsidRPr="004A33B9">
        <w:rPr>
          <w:rFonts w:ascii="宋体" w:eastAsia="宋体" w:hAnsi="宋体" w:cs="宋体" w:hint="eastAsia"/>
          <w:kern w:val="0"/>
          <w:sz w:val="24"/>
          <w:szCs w:val="24"/>
        </w:rPr>
        <w:br/>
      </w:r>
      <w:r>
        <w:rPr>
          <w:rFonts w:ascii="宋体" w:eastAsia="宋体" w:hAnsi="宋体" w:cs="宋体"/>
          <w:noProof/>
          <w:kern w:val="0"/>
          <w:sz w:val="24"/>
          <w:szCs w:val="24"/>
        </w:rPr>
        <w:drawing>
          <wp:inline distT="0" distB="0" distL="0" distR="0">
            <wp:extent cx="2952750" cy="2171700"/>
            <wp:effectExtent l="19050" t="0" r="0" b="0"/>
            <wp:docPr id="3" name="图片 3" descr="http://www.ctanet.cn/UploadFile/article/5/1205/20120523150026707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tanet.cn/UploadFile/article/5/1205/20120523150026707067.png"/>
                    <pic:cNvPicPr>
                      <a:picLocks noChangeAspect="1" noChangeArrowheads="1"/>
                    </pic:cNvPicPr>
                  </pic:nvPicPr>
                  <pic:blipFill>
                    <a:blip r:embed="rId8"/>
                    <a:srcRect/>
                    <a:stretch>
                      <a:fillRect/>
                    </a:stretch>
                  </pic:blipFill>
                  <pic:spPr bwMode="auto">
                    <a:xfrm>
                      <a:off x="0" y="0"/>
                      <a:ext cx="2952750" cy="2171700"/>
                    </a:xfrm>
                    <a:prstGeom prst="rect">
                      <a:avLst/>
                    </a:prstGeom>
                    <a:noFill/>
                    <a:ln w="9525">
                      <a:noFill/>
                      <a:miter lim="800000"/>
                      <a:headEnd/>
                      <a:tailEnd/>
                    </a:ln>
                  </pic:spPr>
                </pic:pic>
              </a:graphicData>
            </a:graphic>
          </wp:inline>
        </w:drawing>
      </w:r>
    </w:p>
    <w:p w:rsidR="004A33B9" w:rsidRPr="004A33B9" w:rsidRDefault="004A33B9" w:rsidP="006C2C5A">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从图4和表1可以看出，当聚乙烯吡咯烷酮用量为0．6％时，纳米TiO2存在一定量锐钛矿型，此时平均晶粒尺寸为63nm，锐钛矿型含量为35．3％；3％时，锐钛矿型逐渐减少；6％时，锐钛矿型最强峰位置的吸收基本消失，全部为金红石型，平均晶粒尺寸为68nm．</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181350" cy="2505075"/>
            <wp:effectExtent l="19050" t="0" r="0" b="0"/>
            <wp:docPr id="4" name="图片 4" descr="http://www.ctanet.cn/UploadFile/article/5/1205/201205231500267796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tanet.cn/UploadFile/article/5/1205/20120523150026779693.png"/>
                    <pic:cNvPicPr>
                      <a:picLocks noChangeAspect="1" noChangeArrowheads="1"/>
                    </pic:cNvPicPr>
                  </pic:nvPicPr>
                  <pic:blipFill>
                    <a:blip r:embed="rId9"/>
                    <a:srcRect/>
                    <a:stretch>
                      <a:fillRect/>
                    </a:stretch>
                  </pic:blipFill>
                  <pic:spPr bwMode="auto">
                    <a:xfrm>
                      <a:off x="0" y="0"/>
                      <a:ext cx="3181350" cy="2505075"/>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从图5和表1可知，六偏磷酸钠用量为0．6％时，纳米TiO2吸收峰基本符合锐钛矿型，不含金红石型；提高六偏磷酸钠用量，产物晶型变成了无定形．</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095625" cy="2314575"/>
            <wp:effectExtent l="19050" t="0" r="9525" b="0"/>
            <wp:docPr id="5" name="图片 5" descr="http://www.ctanet.cn/UploadFile/article/5/1205/20120523150026332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tanet.cn/UploadFile/article/5/1205/20120523150026332202.png"/>
                    <pic:cNvPicPr>
                      <a:picLocks noChangeAspect="1" noChangeArrowheads="1"/>
                    </pic:cNvPicPr>
                  </pic:nvPicPr>
                  <pic:blipFill>
                    <a:blip r:embed="rId10"/>
                    <a:srcRect/>
                    <a:stretch>
                      <a:fillRect/>
                    </a:stretch>
                  </pic:blipFill>
                  <pic:spPr bwMode="auto">
                    <a:xfrm>
                      <a:off x="0" y="0"/>
                      <a:ext cx="3095625" cy="2314575"/>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2．1．2分散稳定性</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lastRenderedPageBreak/>
        <w:t>文献[9—11]介绍，PEG和六偏磷酸钠能提高纳米TiO2的分散稳定性．由表2可看出，在纳米TiO2乳液中加入分散剂能明显改善其分散稳定性，其中六偏磷酸钠效果最好，几乎没有分层现象．</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810000" cy="2390775"/>
            <wp:effectExtent l="19050" t="0" r="0" b="0"/>
            <wp:docPr id="6" name="图片 6" descr="http://www.ctanet.cn/UploadFile/article/5/1205/201205231500263406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tanet.cn/UploadFile/article/5/1205/20120523150026340674.png"/>
                    <pic:cNvPicPr>
                      <a:picLocks noChangeAspect="1" noChangeArrowheads="1"/>
                    </pic:cNvPicPr>
                  </pic:nvPicPr>
                  <pic:blipFill>
                    <a:blip r:embed="rId11"/>
                    <a:srcRect/>
                    <a:stretch>
                      <a:fillRect/>
                    </a:stretch>
                  </pic:blipFill>
                  <pic:spPr bwMode="auto">
                    <a:xfrm>
                      <a:off x="0" y="0"/>
                      <a:ext cx="3810000" cy="2390775"/>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2．1．3光催化性能</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不同分散剂制备的TiO2乳液光催化活性见表3</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029200" cy="4162425"/>
            <wp:effectExtent l="19050" t="0" r="0" b="0"/>
            <wp:docPr id="7" name="图片 7" descr="http://www.ctanet.cn/UploadFile/article/5/1205/20120523150026359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tanet.cn/UploadFile/article/5/1205/20120523150026359300.png"/>
                    <pic:cNvPicPr>
                      <a:picLocks noChangeAspect="1" noChangeArrowheads="1"/>
                    </pic:cNvPicPr>
                  </pic:nvPicPr>
                  <pic:blipFill>
                    <a:blip r:embed="rId12"/>
                    <a:srcRect/>
                    <a:stretch>
                      <a:fillRect/>
                    </a:stretch>
                  </pic:blipFill>
                  <pic:spPr bwMode="auto">
                    <a:xfrm>
                      <a:off x="0" y="0"/>
                      <a:ext cx="5029200" cy="4162425"/>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由表3可知，</w:t>
      </w:r>
      <w:r w:rsidRPr="009D454A">
        <w:rPr>
          <w:rFonts w:ascii="宋体" w:eastAsia="宋体" w:hAnsi="宋体" w:cs="宋体" w:hint="eastAsia"/>
          <w:color w:val="FF0000"/>
          <w:kern w:val="0"/>
          <w:sz w:val="24"/>
          <w:szCs w:val="24"/>
        </w:rPr>
        <w:t>加入0．6％的聚乙烯吡咯烷酮制得的纳米TiO2，4h对甲基橙降解率达到了80．3％，降解甲基橙的效果最好，可能原因是加入0．6％的聚乙烯吡咯烷酮得到的TiO2晶粒尺寸比未加分散剂小</w:t>
      </w:r>
      <w:r w:rsidRPr="004A33B9">
        <w:rPr>
          <w:rFonts w:ascii="宋体" w:eastAsia="宋体" w:hAnsi="宋体" w:cs="宋体" w:hint="eastAsia"/>
          <w:kern w:val="0"/>
          <w:sz w:val="24"/>
          <w:szCs w:val="24"/>
        </w:rPr>
        <w:t>．大多数加24印染助剂28卷入分散剂后对甲基橙的降解率还有一定程度的降低，原因</w:t>
      </w:r>
      <w:r w:rsidRPr="004A33B9">
        <w:rPr>
          <w:rFonts w:ascii="宋体" w:eastAsia="宋体" w:hAnsi="宋体" w:cs="宋体" w:hint="eastAsia"/>
          <w:kern w:val="0"/>
          <w:sz w:val="24"/>
          <w:szCs w:val="24"/>
        </w:rPr>
        <w:lastRenderedPageBreak/>
        <w:t>是分散剂在纳米TiO2表面形成一定的包覆层，降低了纳米TiO2与甲基橙的接触概率，从而降低了对甲基橙的降解率．因此，分散剂用量选择0．6％．</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2．2纳米TiO2处理棉织物的性能</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2．2．1光催化降解甲醛</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利用TVOC在线检测舱可以连续测试织物降解VOC的能力．当挥发性有机物(甲醛)加入舱内，随着有机物的挥发扩散，TVOC迅速上升，5～10rain后达到最大值(如图6所示)．未处理织物几分钟后趋于平稳状态，曲线有段下降的原因可能是甲醛吸附到织物上，可</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以理解为不是纳米TiO2光催化降解甲醛导致的结果．但是经纳米TiO2处理后的织物，曲线下降很快，原因是纳米TiO2的光催化作用，对甲醛进行降解，使甲醛用量降低，50min后逐渐趋于平衡．60rain后经纳米TiO2处理的织物对甲醛的降解率达到88．1％．</w:t>
      </w:r>
    </w:p>
    <w:p w:rsidR="004A33B9" w:rsidRPr="004A33B9" w:rsidRDefault="004A33B9" w:rsidP="006C2C5A">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3457575" cy="2962275"/>
            <wp:effectExtent l="19050" t="0" r="9525" b="0"/>
            <wp:docPr id="8" name="图片 8" descr="http://www.ctanet.cn/UploadFile/article/5/1205/20120523150027831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tanet.cn/UploadFile/article/5/1205/20120523150027831919.png"/>
                    <pic:cNvPicPr>
                      <a:picLocks noChangeAspect="1" noChangeArrowheads="1"/>
                    </pic:cNvPicPr>
                  </pic:nvPicPr>
                  <pic:blipFill>
                    <a:blip r:embed="rId13"/>
                    <a:srcRect/>
                    <a:stretch>
                      <a:fillRect/>
                    </a:stretch>
                  </pic:blipFill>
                  <pic:spPr bwMode="auto">
                    <a:xfrm>
                      <a:off x="0" y="0"/>
                      <a:ext cx="3457575" cy="2962275"/>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2．2．2抗菌性能</w:t>
      </w:r>
    </w:p>
    <w:p w:rsidR="004A33B9" w:rsidRPr="009D454A" w:rsidRDefault="004A33B9" w:rsidP="004A33B9">
      <w:pPr>
        <w:widowControl/>
        <w:spacing w:before="100" w:beforeAutospacing="1" w:after="100" w:afterAutospacing="1"/>
        <w:jc w:val="left"/>
        <w:rPr>
          <w:rFonts w:ascii="宋体" w:eastAsia="宋体" w:hAnsi="宋体" w:cs="宋体"/>
          <w:color w:val="FF0000"/>
          <w:kern w:val="0"/>
          <w:sz w:val="24"/>
          <w:szCs w:val="24"/>
        </w:rPr>
      </w:pPr>
      <w:r w:rsidRPr="004A33B9">
        <w:rPr>
          <w:rFonts w:ascii="宋体" w:eastAsia="宋体" w:hAnsi="宋体" w:cs="宋体" w:hint="eastAsia"/>
          <w:kern w:val="0"/>
          <w:sz w:val="24"/>
          <w:szCs w:val="24"/>
        </w:rPr>
        <w:t>由表4可知，经纳米TiO2处理后棉织物都具有较好的杀菌能力．但加人不同分散剂制得的纳米TiO2对抗菌性能有一定影响，</w:t>
      </w:r>
      <w:r w:rsidRPr="009D454A">
        <w:rPr>
          <w:rFonts w:ascii="宋体" w:eastAsia="宋体" w:hAnsi="宋体" w:cs="宋体" w:hint="eastAsia"/>
          <w:color w:val="FF0000"/>
          <w:kern w:val="0"/>
          <w:sz w:val="24"/>
          <w:szCs w:val="24"/>
        </w:rPr>
        <w:t>当加入聚乙烯毗咯烷酮时，棉织物具有最强的抗菌能力，可能原因是此条件下制备的纳米TiO2具有最高的光催化活性．</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000625" cy="2838450"/>
            <wp:effectExtent l="19050" t="0" r="9525" b="0"/>
            <wp:docPr id="9" name="图片 9" descr="http://www.ctanet.cn/UploadFile/article/5/1205/20120523150027987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tanet.cn/UploadFile/article/5/1205/20120523150027987865.png"/>
                    <pic:cNvPicPr>
                      <a:picLocks noChangeAspect="1" noChangeArrowheads="1"/>
                    </pic:cNvPicPr>
                  </pic:nvPicPr>
                  <pic:blipFill>
                    <a:blip r:embed="rId14"/>
                    <a:srcRect/>
                    <a:stretch>
                      <a:fillRect/>
                    </a:stretch>
                  </pic:blipFill>
                  <pic:spPr bwMode="auto">
                    <a:xfrm>
                      <a:off x="0" y="0"/>
                      <a:ext cx="5000625" cy="2838450"/>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2．2．3抗紫外性能</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由表5可知，将聚乙二醇制备的乳液处理到织物上时UPF值最大，主要原因是加人聚乙二醇制备的TiO2晶体为金红石型．根据功能需要，可以选择制备金红石型含量高的纳米TiO2赋予织物较好的抗紫外性能．</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943475" cy="3143250"/>
            <wp:effectExtent l="19050" t="0" r="9525" b="0"/>
            <wp:docPr id="10" name="图片 10" descr="http://www.ctanet.cn/UploadFile/article/5/1205/20120523150027306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tanet.cn/UploadFile/article/5/1205/20120523150027306234.png"/>
                    <pic:cNvPicPr>
                      <a:picLocks noChangeAspect="1" noChangeArrowheads="1"/>
                    </pic:cNvPicPr>
                  </pic:nvPicPr>
                  <pic:blipFill>
                    <a:blip r:embed="rId15"/>
                    <a:srcRect/>
                    <a:stretch>
                      <a:fillRect/>
                    </a:stretch>
                  </pic:blipFill>
                  <pic:spPr bwMode="auto">
                    <a:xfrm>
                      <a:off x="0" y="0"/>
                      <a:ext cx="4943475" cy="3143250"/>
                    </a:xfrm>
                    <a:prstGeom prst="rect">
                      <a:avLst/>
                    </a:prstGeom>
                    <a:noFill/>
                    <a:ln w="9525">
                      <a:noFill/>
                      <a:miter lim="800000"/>
                      <a:headEnd/>
                      <a:tailEnd/>
                    </a:ln>
                  </pic:spPr>
                </pic:pic>
              </a:graphicData>
            </a:graphic>
          </wp:inline>
        </w:drawing>
      </w:r>
      <w:r w:rsidRPr="004A33B9">
        <w:rPr>
          <w:rFonts w:ascii="宋体" w:eastAsia="宋体" w:hAnsi="宋体" w:cs="宋体" w:hint="eastAsia"/>
          <w:kern w:val="0"/>
          <w:sz w:val="24"/>
          <w:szCs w:val="24"/>
        </w:rPr>
        <w:br/>
        <w:t>3结论</w:t>
      </w:r>
    </w:p>
    <w:p w:rsidR="004A33B9" w:rsidRPr="004A33B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(1)在制备纳米TiO2乳液的过程中，</w:t>
      </w:r>
      <w:r w:rsidRPr="00724E3A">
        <w:rPr>
          <w:rFonts w:ascii="宋体" w:eastAsia="宋体" w:hAnsi="宋体" w:cs="宋体" w:hint="eastAsia"/>
          <w:color w:val="FF0000"/>
          <w:kern w:val="0"/>
          <w:sz w:val="24"/>
          <w:szCs w:val="24"/>
        </w:rPr>
        <w:t>加入分散剂能明显改善纳米T</w:t>
      </w:r>
      <w:r w:rsidR="007C3409" w:rsidRPr="00724E3A">
        <w:rPr>
          <w:rFonts w:ascii="宋体" w:eastAsia="宋体" w:hAnsi="宋体" w:cs="宋体" w:hint="eastAsia"/>
          <w:color w:val="FF0000"/>
          <w:kern w:val="0"/>
          <w:sz w:val="24"/>
          <w:szCs w:val="24"/>
        </w:rPr>
        <w:t>i</w:t>
      </w:r>
      <w:r w:rsidRPr="00724E3A">
        <w:rPr>
          <w:rFonts w:ascii="宋体" w:eastAsia="宋体" w:hAnsi="宋体" w:cs="宋体" w:hint="eastAsia"/>
          <w:color w:val="FF0000"/>
          <w:kern w:val="0"/>
          <w:sz w:val="24"/>
          <w:szCs w:val="24"/>
        </w:rPr>
        <w:t>O2的分散稳定性，其中六偏磷酸钠与聚乙烯吡咯烷酮效果最好．</w:t>
      </w:r>
      <w:r w:rsidRPr="004A33B9">
        <w:rPr>
          <w:rFonts w:ascii="宋体" w:eastAsia="宋体" w:hAnsi="宋体" w:cs="宋体" w:hint="eastAsia"/>
          <w:kern w:val="0"/>
          <w:sz w:val="24"/>
          <w:szCs w:val="24"/>
        </w:rPr>
        <w:t>同时，加入不同的分散剂对制得的纳米TiO2晶型和粒径有一定影响，可以根据需求选择合适的反应条件．</w:t>
      </w:r>
    </w:p>
    <w:p w:rsidR="007C3409" w:rsidRDefault="004A33B9" w:rsidP="004A33B9">
      <w:pPr>
        <w:widowControl/>
        <w:spacing w:before="100" w:beforeAutospacing="1" w:after="100" w:afterAutospacing="1"/>
        <w:jc w:val="left"/>
        <w:rPr>
          <w:rFonts w:ascii="宋体" w:eastAsia="宋体" w:hAnsi="宋体" w:cs="宋体"/>
          <w:kern w:val="0"/>
          <w:sz w:val="24"/>
          <w:szCs w:val="24"/>
        </w:rPr>
      </w:pPr>
      <w:r w:rsidRPr="004A33B9">
        <w:rPr>
          <w:rFonts w:ascii="宋体" w:eastAsia="宋体" w:hAnsi="宋体" w:cs="宋体" w:hint="eastAsia"/>
          <w:kern w:val="0"/>
          <w:sz w:val="24"/>
          <w:szCs w:val="24"/>
        </w:rPr>
        <w:t>(2)经制得的纳米TiO2处理的织物，对甲醛的降解率、抗菌能力和抗紫外性能有不同程度的提高．</w:t>
      </w:r>
    </w:p>
    <w:p w:rsidR="004A33B9" w:rsidRPr="004A33B9" w:rsidRDefault="007C3409" w:rsidP="004A33B9">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w:t>
      </w:r>
      <w:r w:rsidR="004A33B9" w:rsidRPr="004A33B9">
        <w:rPr>
          <w:rFonts w:ascii="宋体" w:eastAsia="宋体" w:hAnsi="宋体" w:cs="宋体" w:hint="eastAsia"/>
          <w:kern w:val="0"/>
          <w:sz w:val="24"/>
          <w:szCs w:val="24"/>
        </w:rPr>
        <w:t>3)分散剂种类和用量对纳米Ti0结构有一定影响，但影响纳米TiO2晶型的原因有待进一步研究．参考文献：</w:t>
      </w:r>
      <w:r w:rsidR="006C2C5A">
        <w:rPr>
          <w:rFonts w:ascii="宋体" w:eastAsia="宋体" w:hAnsi="宋体" w:cs="宋体" w:hint="eastAsia"/>
          <w:kern w:val="0"/>
          <w:sz w:val="24"/>
          <w:szCs w:val="24"/>
        </w:rPr>
        <w:t>略</w:t>
      </w:r>
    </w:p>
    <w:sectPr w:rsidR="004A33B9" w:rsidRPr="004A33B9" w:rsidSect="007C3409">
      <w:headerReference w:type="even" r:id="rId16"/>
      <w:headerReference w:type="default" r:id="rId17"/>
      <w:footerReference w:type="even" r:id="rId18"/>
      <w:footerReference w:type="default" r:id="rId19"/>
      <w:headerReference w:type="first" r:id="rId20"/>
      <w:footerReference w:type="first" r:id="rId21"/>
      <w:pgSz w:w="11906" w:h="16838"/>
      <w:pgMar w:top="590" w:right="890" w:bottom="590" w:left="89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B1D" w:rsidRDefault="004E4B1D" w:rsidP="004A33B9">
      <w:r>
        <w:separator/>
      </w:r>
    </w:p>
  </w:endnote>
  <w:endnote w:type="continuationSeparator" w:id="1">
    <w:p w:rsidR="004E4B1D" w:rsidRDefault="004E4B1D" w:rsidP="004A3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3A" w:rsidRDefault="00724E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3A" w:rsidRDefault="00724E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3A" w:rsidRDefault="00724E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B1D" w:rsidRDefault="004E4B1D" w:rsidP="004A33B9">
      <w:r>
        <w:separator/>
      </w:r>
    </w:p>
  </w:footnote>
  <w:footnote w:type="continuationSeparator" w:id="1">
    <w:p w:rsidR="004E4B1D" w:rsidRDefault="004E4B1D" w:rsidP="004A33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3A" w:rsidRDefault="00724E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3B9" w:rsidRDefault="004A33B9" w:rsidP="00724E3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E3A" w:rsidRDefault="00724E3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33B9"/>
    <w:rsid w:val="001B7193"/>
    <w:rsid w:val="0024464F"/>
    <w:rsid w:val="004A33B9"/>
    <w:rsid w:val="004E4B1D"/>
    <w:rsid w:val="00674ED4"/>
    <w:rsid w:val="006C2C5A"/>
    <w:rsid w:val="00724E3A"/>
    <w:rsid w:val="00747ECC"/>
    <w:rsid w:val="007C3409"/>
    <w:rsid w:val="008737B8"/>
    <w:rsid w:val="00936C14"/>
    <w:rsid w:val="009D454A"/>
    <w:rsid w:val="00AB1990"/>
    <w:rsid w:val="00BA65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562"/>
    <w:pPr>
      <w:widowControl w:val="0"/>
      <w:jc w:val="both"/>
    </w:pPr>
  </w:style>
  <w:style w:type="paragraph" w:styleId="1">
    <w:name w:val="heading 1"/>
    <w:basedOn w:val="a"/>
    <w:link w:val="1Char"/>
    <w:uiPriority w:val="9"/>
    <w:qFormat/>
    <w:rsid w:val="004A33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33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A33B9"/>
    <w:rPr>
      <w:sz w:val="18"/>
      <w:szCs w:val="18"/>
    </w:rPr>
  </w:style>
  <w:style w:type="paragraph" w:styleId="a4">
    <w:name w:val="footer"/>
    <w:basedOn w:val="a"/>
    <w:link w:val="Char0"/>
    <w:uiPriority w:val="99"/>
    <w:semiHidden/>
    <w:unhideWhenUsed/>
    <w:rsid w:val="004A33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A33B9"/>
    <w:rPr>
      <w:sz w:val="18"/>
      <w:szCs w:val="18"/>
    </w:rPr>
  </w:style>
  <w:style w:type="character" w:customStyle="1" w:styleId="1Char">
    <w:name w:val="标题 1 Char"/>
    <w:basedOn w:val="a0"/>
    <w:link w:val="1"/>
    <w:uiPriority w:val="9"/>
    <w:rsid w:val="004A33B9"/>
    <w:rPr>
      <w:rFonts w:ascii="宋体" w:eastAsia="宋体" w:hAnsi="宋体" w:cs="宋体"/>
      <w:b/>
      <w:bCs/>
      <w:kern w:val="36"/>
      <w:sz w:val="48"/>
      <w:szCs w:val="48"/>
    </w:rPr>
  </w:style>
  <w:style w:type="paragraph" w:styleId="a5">
    <w:name w:val="Normal (Web)"/>
    <w:basedOn w:val="a"/>
    <w:uiPriority w:val="99"/>
    <w:semiHidden/>
    <w:unhideWhenUsed/>
    <w:rsid w:val="004A33B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A33B9"/>
    <w:rPr>
      <w:sz w:val="18"/>
      <w:szCs w:val="18"/>
    </w:rPr>
  </w:style>
  <w:style w:type="character" w:customStyle="1" w:styleId="Char1">
    <w:name w:val="批注框文本 Char"/>
    <w:basedOn w:val="a0"/>
    <w:link w:val="a6"/>
    <w:uiPriority w:val="99"/>
    <w:semiHidden/>
    <w:rsid w:val="004A33B9"/>
    <w:rPr>
      <w:sz w:val="18"/>
      <w:szCs w:val="18"/>
    </w:rPr>
  </w:style>
</w:styles>
</file>

<file path=word/webSettings.xml><?xml version="1.0" encoding="utf-8"?>
<w:webSettings xmlns:r="http://schemas.openxmlformats.org/officeDocument/2006/relationships" xmlns:w="http://schemas.openxmlformats.org/wordprocessingml/2006/main">
  <w:divs>
    <w:div w:id="1552232406">
      <w:bodyDiv w:val="1"/>
      <w:marLeft w:val="0"/>
      <w:marRight w:val="0"/>
      <w:marTop w:val="0"/>
      <w:marBottom w:val="0"/>
      <w:divBdr>
        <w:top w:val="none" w:sz="0" w:space="0" w:color="auto"/>
        <w:left w:val="none" w:sz="0" w:space="0" w:color="auto"/>
        <w:bottom w:val="none" w:sz="0" w:space="0" w:color="auto"/>
        <w:right w:val="none" w:sz="0" w:space="0" w:color="auto"/>
      </w:divBdr>
      <w:divsChild>
        <w:div w:id="2137213930">
          <w:marLeft w:val="0"/>
          <w:marRight w:val="0"/>
          <w:marTop w:val="0"/>
          <w:marBottom w:val="0"/>
          <w:divBdr>
            <w:top w:val="none" w:sz="0" w:space="0" w:color="auto"/>
            <w:left w:val="none" w:sz="0" w:space="0" w:color="auto"/>
            <w:bottom w:val="none" w:sz="0" w:space="0" w:color="auto"/>
            <w:right w:val="none" w:sz="0" w:space="0" w:color="auto"/>
          </w:divBdr>
          <w:divsChild>
            <w:div w:id="946424517">
              <w:marLeft w:val="0"/>
              <w:marRight w:val="0"/>
              <w:marTop w:val="0"/>
              <w:marBottom w:val="0"/>
              <w:divBdr>
                <w:top w:val="none" w:sz="0" w:space="0" w:color="auto"/>
                <w:left w:val="none" w:sz="0" w:space="0" w:color="auto"/>
                <w:bottom w:val="none" w:sz="0" w:space="0" w:color="auto"/>
                <w:right w:val="none" w:sz="0" w:space="0" w:color="auto"/>
              </w:divBdr>
              <w:divsChild>
                <w:div w:id="659190403">
                  <w:marLeft w:val="0"/>
                  <w:marRight w:val="0"/>
                  <w:marTop w:val="0"/>
                  <w:marBottom w:val="0"/>
                  <w:divBdr>
                    <w:top w:val="none" w:sz="0" w:space="0" w:color="auto"/>
                    <w:left w:val="none" w:sz="0" w:space="0" w:color="auto"/>
                    <w:bottom w:val="none" w:sz="0" w:space="0" w:color="auto"/>
                    <w:right w:val="none" w:sz="0" w:space="0" w:color="auto"/>
                  </w:divBdr>
                </w:div>
                <w:div w:id="6672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469</Words>
  <Characters>2676</Characters>
  <Application>Microsoft Office Word</Application>
  <DocSecurity>0</DocSecurity>
  <Lines>22</Lines>
  <Paragraphs>6</Paragraphs>
  <ScaleCrop>false</ScaleCrop>
  <Company>微软中国</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2012-06-11T06:47:00Z</dcterms:created>
  <dcterms:modified xsi:type="dcterms:W3CDTF">2012-08-01T01:57:00Z</dcterms:modified>
</cp:coreProperties>
</file>